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100" w:afterAutospacing="0"/>
        <w:ind w:left="2880" w:hanging="2880" w:hangingChars="1200"/>
        <w:jc w:val="both"/>
        <w:rPr>
          <w:rFonts w:ascii="宋体" w:hAnsi="宋体" w:eastAsia="宋体" w:cs="宋体"/>
          <w:b/>
          <w:bCs/>
          <w:color w:val="333333"/>
          <w:sz w:val="28"/>
          <w:szCs w:val="28"/>
        </w:rPr>
      </w:pPr>
      <w:r>
        <w:drawing>
          <wp:anchor distT="0" distB="0" distL="114300" distR="114300" simplePos="0" relativeHeight="251655168" behindDoc="1" locked="0" layoutInCell="1" allowOverlap="1">
            <wp:simplePos x="0" y="0"/>
            <wp:positionH relativeFrom="column">
              <wp:posOffset>4003040</wp:posOffset>
            </wp:positionH>
            <wp:positionV relativeFrom="paragraph">
              <wp:posOffset>202565</wp:posOffset>
            </wp:positionV>
            <wp:extent cx="1784985" cy="622300"/>
            <wp:effectExtent l="0" t="0" r="5715" b="6350"/>
            <wp:wrapNone/>
            <wp:docPr id="42" name="图片 42" descr="AEMG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AEMG mini"/>
                    <pic:cNvPicPr>
                      <a:picLocks noChangeAspect="1"/>
                    </pic:cNvPicPr>
                  </pic:nvPicPr>
                  <pic:blipFill>
                    <a:blip r:embed="rId5"/>
                    <a:stretch>
                      <a:fillRect/>
                    </a:stretch>
                  </pic:blipFill>
                  <pic:spPr>
                    <a:xfrm>
                      <a:off x="0" y="0"/>
                      <a:ext cx="1794172" cy="625495"/>
                    </a:xfrm>
                    <a:prstGeom prst="rect">
                      <a:avLst/>
                    </a:prstGeom>
                  </pic:spPr>
                </pic:pic>
              </a:graphicData>
            </a:graphic>
          </wp:anchor>
        </w:drawing>
      </w:r>
      <w:r>
        <w:rPr>
          <w:rFonts w:hint="eastAsia" w:ascii="宋体" w:hAnsi="宋体" w:eastAsia="宋体" w:cs="宋体"/>
          <w:b/>
          <w:bCs/>
          <w:color w:val="333333"/>
          <w:sz w:val="28"/>
          <w:szCs w:val="28"/>
        </w:rPr>
        <w:t xml:space="preserve">  </w:t>
      </w:r>
      <w:r>
        <w:rPr>
          <w:rFonts w:hint="eastAsia"/>
          <w:b/>
          <w:bCs/>
          <w:color w:val="000000" w:themeColor="text1"/>
          <w:szCs w:val="21"/>
          <w14:textFill>
            <w14:solidFill>
              <w14:schemeClr w14:val="tx1"/>
            </w14:solidFill>
          </w14:textFill>
        </w:rPr>
        <w:drawing>
          <wp:inline distT="0" distB="0" distL="114300" distR="114300">
            <wp:extent cx="868680" cy="8686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inline>
        </w:drawing>
      </w:r>
      <w:r>
        <w:rPr>
          <w:rFonts w:hint="eastAsia" w:ascii="宋体" w:hAnsi="宋体" w:eastAsia="宋体" w:cs="宋体"/>
          <w:b/>
          <w:bCs/>
          <w:color w:val="333333"/>
          <w:sz w:val="28"/>
          <w:szCs w:val="28"/>
        </w:rPr>
        <w:t xml:space="preserve">                                               </w:t>
      </w:r>
    </w:p>
    <w:p>
      <w:pPr>
        <w:pStyle w:val="7"/>
        <w:widowControl/>
        <w:spacing w:beforeAutospacing="0" w:after="100" w:afterAutospacing="0"/>
        <w:ind w:left="0" w:leftChars="0" w:firstLine="0" w:firstLineChars="0"/>
        <w:jc w:val="center"/>
        <w:rPr>
          <w:rFonts w:ascii="宋体" w:hAnsi="宋体" w:eastAsia="宋体" w:cs="宋体"/>
          <w:b/>
          <w:bCs/>
          <w:color w:val="333333"/>
          <w:sz w:val="32"/>
          <w:szCs w:val="32"/>
        </w:rPr>
      </w:pPr>
      <w:bookmarkStart w:id="3" w:name="_GoBack"/>
      <w:r>
        <w:rPr>
          <w:rFonts w:hint="eastAsia" w:ascii="宋体" w:hAnsi="宋体" w:eastAsia="宋体" w:cs="宋体"/>
          <w:b/>
          <w:bCs/>
          <w:color w:val="333333"/>
          <w:sz w:val="32"/>
          <w:szCs w:val="32"/>
        </w:rPr>
        <w:t>西南大学商贸学院“国际教育项目中心”硕士直通项目</w:t>
      </w:r>
    </w:p>
    <w:p>
      <w:pPr>
        <w:pStyle w:val="7"/>
        <w:widowControl/>
        <w:spacing w:beforeAutospacing="0" w:after="100" w:afterAutospacing="0"/>
        <w:ind w:left="0" w:leftChars="0" w:right="0" w:rightChars="0" w:firstLine="0" w:firstLineChars="0"/>
        <w:jc w:val="center"/>
        <w:rPr>
          <w:rFonts w:hint="eastAsia" w:ascii="方正小标宋_GBK" w:hAnsi="方正小标宋_GBK" w:eastAsia="方正小标宋_GBK" w:cs="方正小标宋_GBK"/>
          <w:b/>
          <w:bCs/>
          <w:color w:val="333333"/>
          <w:sz w:val="44"/>
          <w:szCs w:val="44"/>
        </w:rPr>
      </w:pPr>
      <w:r>
        <w:rPr>
          <w:rFonts w:hint="eastAsia" w:ascii="方正小标宋_GBK" w:hAnsi="方正小标宋_GBK" w:eastAsia="方正小标宋_GBK" w:cs="方正小标宋_GBK"/>
          <w:b/>
          <w:bCs/>
          <w:color w:val="333333"/>
          <w:sz w:val="44"/>
          <w:szCs w:val="44"/>
        </w:rPr>
        <w:t>2020年招生简章</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一、项目介绍</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在2020年初新冠肺炎疫情突发、高等院校毕业生高达1700余万人等多重因素的影响下，就业市场竞争异常激烈，未知因素大幅增加，但坚持资源优化与对外合作，着力构建高端人才培养发展典范工程，培养明德、崇智、博文、情智双商兼具的复合型技术人才是高等教育应对之策。在此时代与社会背景下，西南大学商贸学院正式推行《“国际教育项目中心”硕士培养直通项目》。这</w:t>
      </w:r>
      <w:r>
        <w:rPr>
          <w:rFonts w:hint="eastAsia" w:ascii="方正仿宋_GBK" w:hAnsi="方正仿宋_GBK" w:eastAsia="方正仿宋_GBK" w:cs="方正仿宋_GBK"/>
          <w:sz w:val="32"/>
          <w:szCs w:val="32"/>
        </w:rPr>
        <w:t>是国际化前沿教育</w:t>
      </w:r>
      <w:r>
        <w:rPr>
          <w:rFonts w:hint="eastAsia" w:ascii="方正仿宋_GBK" w:hAnsi="方正仿宋_GBK" w:eastAsia="方正仿宋_GBK" w:cs="方正仿宋_GBK"/>
          <w:color w:val="333333"/>
          <w:sz w:val="32"/>
          <w:szCs w:val="32"/>
        </w:rPr>
        <w:t>的又一开拓项目，由西南大学联合澳大利亚悉尼科技大学（University of Technology Sydney）、英国阿斯顿大学（Aston University）建立硕士直通培养模式，由AEMG集团承担外方大学认证的“国际英语”教学项目（学术类）。本项目是针对有志于赴英国、澳大利亚的学生而专门设计的高效联合培养项目，旨在为学生进入国外大学硕士阶段打下坚实的语言和专业基础，是全方面提升学生的学术水平及综合能力的桥梁课程。</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项目宗旨：发挥学科资源优势，以精英化培养为目标，个性化、国际化教育为两翼，以校际合作互通形式培养发展志向远大、基础深厚、国际视野宽阔的学术精英和商业科技创新人才。</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二、项目特色及优势</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*课程丰富，学分互认</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0.5年“国际英语（学术类）”课程双认证：在华一学期课程设置多样，含名师硕士前沿课、特色课、国外大学论文指导课、学业指导课等课程学习，满足学生们的不同兴趣。</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*名师授课，提升能力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在华一学期课程由澳大利亚AEMG Academy教师和国外大学在职教授共同讲授，通过课程提升学生留学认知和综合能力，为前往英、澳读书打好基础。</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*语言认证，名校直通</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入读0.5年“国际英语（学术类）”课程的学生无需再提供雅思/托福/GRE等入学语言证明，学生在完成0.5年的学习成绩合格后，可选择攻读阿斯顿大学和悉尼科技大学相关硕士课程。</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*专业团队，1对1指导</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参与0.5年制“国际英语（学术类）”课程的学生将获得签证申请、学业指导、专业规划、行前指导、协助接机、宿舍申请及留学英澳的后续服务（例如：专业团队后期咨询、协助解决海外留学过程中学习、生活、继续深造等问题。)</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*留学圣地，精英之选</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70AD47" w:themeColor="accent6"/>
          <w:sz w:val="32"/>
          <w:szCs w:val="32"/>
          <w14:textFill>
            <w14:solidFill>
              <w14:schemeClr w14:val="accent6"/>
            </w14:solidFill>
          </w14:textFill>
        </w:rPr>
      </w:pPr>
      <w:r>
        <w:rPr>
          <w:rFonts w:hint="eastAsia" w:ascii="方正楷体_GBK" w:hAnsi="方正楷体_GBK" w:eastAsia="方正楷体_GBK" w:cs="方正楷体_GBK"/>
          <w:color w:val="70AD47" w:themeColor="accent6"/>
          <w:sz w:val="32"/>
          <w:szCs w:val="32"/>
          <w14:textFill>
            <w14:solidFill>
              <w14:schemeClr w14:val="accent6"/>
            </w14:solidFill>
          </w14:textFill>
        </w:rPr>
        <w:t>合作</w:t>
      </w:r>
      <w:r>
        <w:rPr>
          <w:rFonts w:hint="eastAsia" w:ascii="方正楷体_GBK" w:hAnsi="方正楷体_GBK" w:eastAsia="方正楷体_GBK" w:cs="方正楷体_GBK"/>
          <w:color w:val="70AD47" w:themeColor="accent6"/>
          <w:sz w:val="32"/>
          <w:szCs w:val="32"/>
          <w:lang w:val="en-US" w:eastAsia="zh-CN"/>
          <w14:textFill>
            <w14:solidFill>
              <w14:schemeClr w14:val="accent6"/>
            </w14:solidFill>
          </w14:textFill>
        </w:rPr>
        <w:t>单位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b/>
          <w:bCs/>
          <w:color w:val="333333"/>
          <w:kern w:val="0"/>
          <w:sz w:val="32"/>
          <w:szCs w:val="32"/>
        </w:rPr>
        <w:t>AEMG集团</w:t>
      </w:r>
      <w:r>
        <w:rPr>
          <w:rFonts w:hint="eastAsia" w:ascii="方正仿宋_GBK" w:hAnsi="方正仿宋_GBK" w:eastAsia="方正仿宋_GBK" w:cs="方正仿宋_GBK"/>
          <w:color w:val="333333"/>
          <w:kern w:val="0"/>
          <w:sz w:val="32"/>
          <w:szCs w:val="32"/>
        </w:rPr>
        <w:t>是在澳大利亚联邦政府注册的、专业从事国际教育和文化交流管理的实体。多年来，集团在国际教育发展道路上保持着长期、稳定的趋势，并以推广英联邦国家多元文化、促进教育、文化、高科技技能人才培养为目的，与全球多个国家的教育机构和研究中心建立了合作关系，发挥着整合和优化教育资源的作用</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lang w:val="en-US" w:eastAsia="zh-CN"/>
        </w:rPr>
        <w:t>AEMG集团与西南大学合作十余年，在中外合作办学等领域有着坚实的合作基础，为软件工程、自动化、计算机科学与技术、心理学等中外合作办学项目及中外合作办学机构——西塔学院提供完善的学术英语教学体制和联合设置的培养方案，为项目内学生提供语言能力、学术能力等国际语言课程，既培养了高素质的国际化人才，也帮助近千余名中外合作办学项目学生直接赴海外合作高校留学。近年来，集团与西南大学联合海外高校，包括悉尼科技大学在内，在澳大利亚墨尔本设立了联合研究生院，将联合进行硕士及联合博士的高层次人才培养。</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70AD47" w:themeColor="accent6"/>
          <w:sz w:val="32"/>
          <w:szCs w:val="32"/>
          <w14:textFill>
            <w14:solidFill>
              <w14:schemeClr w14:val="accent6"/>
            </w14:solidFill>
          </w14:textFill>
        </w:rPr>
      </w:pPr>
      <w:r>
        <w:rPr>
          <w:rFonts w:hint="eastAsia" w:ascii="方正楷体_GBK" w:hAnsi="方正楷体_GBK" w:eastAsia="方正楷体_GBK" w:cs="方正楷体_GBK"/>
          <w:color w:val="70AD47" w:themeColor="accent6"/>
          <w:sz w:val="32"/>
          <w:szCs w:val="32"/>
          <w14:textFill>
            <w14:solidFill>
              <w14:schemeClr w14:val="accent6"/>
            </w14:solidFill>
          </w14:textFill>
        </w:rPr>
        <w:t>合作院校二</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333333"/>
          <w:sz w:val="32"/>
          <w:szCs w:val="32"/>
        </w:rPr>
        <w:t xml:space="preserve"> 阿斯顿大学</w:t>
      </w:r>
      <w:r>
        <w:rPr>
          <w:rFonts w:hint="eastAsia" w:ascii="方正仿宋_GBK" w:hAnsi="方正仿宋_GBK" w:eastAsia="方正仿宋_GBK" w:cs="方正仿宋_GBK"/>
          <w:color w:val="333333"/>
          <w:sz w:val="32"/>
          <w:szCs w:val="32"/>
        </w:rPr>
        <w:t>位于英国第二大城市伯明翰市中心，全英最大的工业中心、会计与管理顾问业聚集地。其商科位列</w:t>
      </w:r>
      <w:r>
        <w:rPr>
          <w:rFonts w:hint="eastAsia" w:ascii="方正仿宋_GBK" w:hAnsi="方正仿宋_GBK" w:eastAsia="方正仿宋_GBK" w:cs="方正仿宋_GBK"/>
          <w:color w:val="000000" w:themeColor="text1"/>
          <w:sz w:val="32"/>
          <w:szCs w:val="32"/>
          <w14:textFill>
            <w14:solidFill>
              <w14:schemeClr w14:val="tx1"/>
            </w14:solidFill>
          </w14:textFill>
        </w:rPr>
        <w:t>全球前100（QS 2020），是全球仅1%同时获得</w:t>
      </w:r>
      <w:r>
        <w:rPr>
          <w:rFonts w:hint="eastAsia" w:ascii="方正仿宋_GBK" w:hAnsi="方正仿宋_GBK" w:eastAsia="方正仿宋_GBK" w:cs="方正仿宋_GBK"/>
          <w:color w:val="333333"/>
          <w:sz w:val="32"/>
          <w:szCs w:val="32"/>
        </w:rPr>
        <w:t>英国AMBA、美国AACSB以及欧洲EQUIS 三重认证的五星级大学，与世界著名商企合作紧密，学生实习实践机会优越，教</w:t>
      </w:r>
      <w:r>
        <w:rPr>
          <w:rFonts w:hint="eastAsia" w:ascii="方正仿宋_GBK" w:hAnsi="方正仿宋_GBK" w:eastAsia="方正仿宋_GBK" w:cs="方正仿宋_GBK"/>
          <w:sz w:val="32"/>
          <w:szCs w:val="32"/>
        </w:rPr>
        <w:t>学水平获金牌认可，毕业生就业率高且薪资水平高于全英毕业生平均水平。</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70AD47" w:themeColor="accent6"/>
          <w:sz w:val="32"/>
          <w:szCs w:val="32"/>
          <w14:textFill>
            <w14:solidFill>
              <w14:schemeClr w14:val="accent6"/>
            </w14:solidFill>
          </w14:textFill>
        </w:rPr>
      </w:pPr>
      <w:r>
        <w:rPr>
          <w:rFonts w:hint="eastAsia" w:ascii="方正楷体_GBK" w:hAnsi="方正楷体_GBK" w:eastAsia="方正楷体_GBK" w:cs="方正楷体_GBK"/>
          <w:color w:val="70AD47" w:themeColor="accent6"/>
          <w:sz w:val="32"/>
          <w:szCs w:val="32"/>
          <w14:textFill>
            <w14:solidFill>
              <w14:schemeClr w14:val="accent6"/>
            </w14:solidFill>
          </w14:textFill>
        </w:rPr>
        <w:t>合作院校三</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sz w:val="32"/>
          <w:szCs w:val="32"/>
        </w:rPr>
        <w:t>悉尼科技大学</w:t>
      </w:r>
      <w:r>
        <w:rPr>
          <w:rFonts w:hint="eastAsia" w:ascii="方正仿宋_GBK" w:hAnsi="方正仿宋_GBK" w:eastAsia="方正仿宋_GBK" w:cs="方正仿宋_GBK"/>
          <w:sz w:val="32"/>
          <w:szCs w:val="32"/>
        </w:rPr>
        <w:t>位于悉尼市中心，拥有全澳最顶级教学设备、最优越地理位置。其工程与信息技术学院与1000多个行业合作伙伴（包括西门子、德勤、普华永道等）建立教学与科研合作，学生就业前景广泛。其计算机科学与工程专业排名全澳第1，全球第29（ARWU2019），课程受澳大利亚计算机协会（ACS）认证，学生毕业后可直接获得行业证书。</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三、项目详情</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*培养模式</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 xml:space="preserve"> 该项目面向西南大学商贸学院本科大四学生，培养的学生在完成“0.5+1/2”的硕士直通课程、修满所需学分后，将获得阿斯顿大学或悉尼科技大学颁发的硕士学位证书。此学历可获得中国教育部认证。</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*相关课程及学科优势</w:t>
      </w:r>
    </w:p>
    <w:tbl>
      <w:tblPr>
        <w:tblStyle w:val="9"/>
        <w:tblpPr w:leftFromText="180" w:rightFromText="180" w:vertAnchor="text" w:horzAnchor="page" w:tblpX="1682" w:tblpY="338"/>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91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00" w:type="dxa"/>
            <w:shd w:val="clear" w:color="auto" w:fill="9CC2E5" w:themeFill="accent1" w:themeFillTint="99"/>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bookmarkStart w:id="0" w:name="OLE_LINK2"/>
            <w:r>
              <w:rPr>
                <w:rFonts w:hint="eastAsia" w:ascii="方正仿宋_GBK" w:hAnsi="方正仿宋_GBK" w:eastAsia="方正仿宋_GBK" w:cs="方正仿宋_GBK"/>
                <w:sz w:val="24"/>
                <w:szCs w:val="24"/>
              </w:rPr>
              <w:t>外方学校</w:t>
            </w:r>
          </w:p>
        </w:tc>
        <w:tc>
          <w:tcPr>
            <w:tcW w:w="3910" w:type="dxa"/>
            <w:shd w:val="clear" w:color="auto" w:fill="9CC2E5" w:themeFill="accent1" w:themeFillTint="99"/>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相关课程</w:t>
            </w:r>
          </w:p>
        </w:tc>
        <w:tc>
          <w:tcPr>
            <w:tcW w:w="3730" w:type="dxa"/>
            <w:shd w:val="clear" w:color="auto" w:fill="9CC2E5" w:themeFill="accent1" w:themeFillTint="99"/>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学科优势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00" w:type="dxa"/>
            <w:vMerge w:val="restart"/>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阿斯顿大学</w:t>
            </w: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工商管理（Management of Business Administration）</w:t>
            </w:r>
          </w:p>
        </w:tc>
        <w:tc>
          <w:tcPr>
            <w:tcW w:w="3730" w:type="dxa"/>
            <w:vMerge w:val="restart"/>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习未来商业领域获得成功的职业生涯所必须的信息管理技术、团队协作能力和实战经验，培养博采全球经营管理内核和先进科技技术的商贸管理类与计算机科学类复合型人才。毕业生就业方向广泛、受到行业巨头如微软、安永、德意志银行、劳埃德银行集团、亚马逊、毕马威等雇主欢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0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营销与分析（MSc Marketing and Analytics）</w:t>
            </w:r>
          </w:p>
        </w:tc>
        <w:tc>
          <w:tcPr>
            <w:tcW w:w="373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600" w:type="dxa"/>
            <w:vMerge w:val="continue"/>
            <w:shd w:val="clear" w:color="auto" w:fill="FFE599" w:themeFill="accent4" w:themeFillTint="66"/>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市场战略管理(MSc Strategic Marketing Management)</w:t>
            </w:r>
          </w:p>
        </w:tc>
        <w:tc>
          <w:tcPr>
            <w:tcW w:w="373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600" w:type="dxa"/>
            <w:vMerge w:val="continue"/>
            <w:shd w:val="clear" w:color="auto" w:fill="FFE599" w:themeFill="accent4" w:themeFillTint="66"/>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信息系统与商务分析（MSc Information System and Business Analysis）</w:t>
            </w:r>
          </w:p>
        </w:tc>
        <w:tc>
          <w:tcPr>
            <w:tcW w:w="373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600" w:type="dxa"/>
            <w:vMerge w:val="continue"/>
            <w:shd w:val="clear" w:color="auto" w:fill="FFE599" w:themeFill="accent4" w:themeFillTint="66"/>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商务与管理（MSc Business and Management）</w:t>
            </w:r>
          </w:p>
        </w:tc>
        <w:tc>
          <w:tcPr>
            <w:tcW w:w="373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600" w:type="dxa"/>
            <w:vMerge w:val="continue"/>
            <w:shd w:val="clear" w:color="auto" w:fill="FFE599" w:themeFill="accent4" w:themeFillTint="66"/>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全球经营与服务管理（MSc Global Operations and Service Management）</w:t>
            </w:r>
          </w:p>
        </w:tc>
        <w:tc>
          <w:tcPr>
            <w:tcW w:w="3730" w:type="dxa"/>
            <w:vMerge w:val="continue"/>
            <w:shd w:val="clear" w:color="auto" w:fill="FFE599" w:themeFill="accent4"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1600" w:type="dxa"/>
            <w:vMerge w:val="restart"/>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悉尼科技大学</w:t>
            </w: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2E3033"/>
                <w:sz w:val="24"/>
                <w:szCs w:val="24"/>
              </w:rPr>
            </w:pPr>
            <w:r>
              <w:rPr>
                <w:rFonts w:hint="eastAsia" w:ascii="方正仿宋_GBK" w:hAnsi="方正仿宋_GBK" w:eastAsia="方正仿宋_GBK" w:cs="方正仿宋_GBK"/>
                <w:color w:val="000000"/>
                <w:sz w:val="24"/>
                <w:szCs w:val="24"/>
              </w:rPr>
              <w:t>商业信息系统（Business Information Systems）</w:t>
            </w:r>
            <w:r>
              <w:rPr>
                <w:rFonts w:hint="eastAsia" w:ascii="方正仿宋_GBK" w:hAnsi="方正仿宋_GBK" w:eastAsia="方正仿宋_GBK" w:cs="方正仿宋_GBK"/>
                <w:color w:val="2E3033"/>
                <w:sz w:val="24"/>
                <w:szCs w:val="24"/>
              </w:rPr>
              <w:t xml:space="preserve"> </w:t>
            </w:r>
          </w:p>
        </w:tc>
        <w:tc>
          <w:tcPr>
            <w:tcW w:w="3730" w:type="dxa"/>
            <w:vMerge w:val="restart"/>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学习CCNA(思科认证网络关联)、CCNP(思科认证网络专业)和CCNA安全再教育IT专业人士网络设计、网络管理等技能,提供深受业界好评的软硬件技术与商业运用相结合的综合技能。该学位相关课程采用以实践为导向的教学方式，课程内容的设置非常注重理论与实际操作能力的结合。在课程中，教授们将努力培养学生项目研究过程中的数字运用能力——确保学生真正有机会参与甚至主导一些研究项目。以现代计算技术为基础，培养智慧商务领域、智慧管理领域的优秀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网络安全（Cyber Security）</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数据分析（Data Analytics）</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互动媒体（Interactive Media）</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互联网（Internetworking）</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软件开发（Software Development）</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600" w:type="dxa"/>
            <w:vMerge w:val="continue"/>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center"/>
              <w:textAlignment w:val="auto"/>
              <w:rPr>
                <w:rFonts w:hint="eastAsia" w:ascii="方正仿宋_GBK" w:hAnsi="方正仿宋_GBK" w:eastAsia="方正仿宋_GBK" w:cs="方正仿宋_GBK"/>
                <w:sz w:val="24"/>
                <w:szCs w:val="24"/>
              </w:rPr>
            </w:pPr>
          </w:p>
        </w:tc>
        <w:tc>
          <w:tcPr>
            <w:tcW w:w="3910" w:type="dxa"/>
            <w:shd w:val="clear" w:color="auto" w:fill="C5E0B3" w:themeFill="accent6" w:themeFillTint="66"/>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无指定专业（课程包括</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color w:val="000000"/>
                <w:sz w:val="24"/>
                <w:szCs w:val="24"/>
              </w:rPr>
              <w:t>4G移动技术、数字媒体技术、数据挖掘和可视化等）</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color w:val="000000"/>
                <w:sz w:val="24"/>
                <w:szCs w:val="24"/>
              </w:rPr>
              <w:t>Choice (no specified major)</w:t>
            </w:r>
          </w:p>
        </w:tc>
        <w:tc>
          <w:tcPr>
            <w:tcW w:w="373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0" w:firstLineChars="0"/>
              <w:jc w:val="left"/>
              <w:textAlignment w:val="auto"/>
              <w:rPr>
                <w:rFonts w:hint="eastAsia" w:ascii="方正仿宋_GBK" w:hAnsi="方正仿宋_GBK" w:eastAsia="方正仿宋_GBK" w:cs="方正仿宋_GBK"/>
                <w:color w:val="2E3033"/>
                <w:sz w:val="24"/>
                <w:szCs w:val="24"/>
                <w:shd w:val="clear" w:color="auto" w:fill="FFFFFF"/>
              </w:rPr>
            </w:pPr>
          </w:p>
        </w:tc>
      </w:tr>
      <w:bookmarkEnd w:id="0"/>
    </w:tbl>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*学习规划</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国内1学期：大四下学期主要学习国际英语课程+专业预备课，修满学分，DEP认证考核通过；</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阿斯顿大学国外1年/悉尼科技大学国外2年：7月进入悉尼科技大学就读相关硕士课程，9月进入阿斯顿大学就读相关硕士课程。</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四、招生对象及报考要求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招生对象：西南大学商贸学院大四在校生。</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报考要求（以下信息需在线提交）：报名者须提交</w:t>
      </w:r>
      <w:r>
        <w:rPr>
          <w:rFonts w:hint="eastAsia" w:ascii="方正仿宋_GBK" w:hAnsi="方正仿宋_GBK" w:eastAsia="方正仿宋_GBK" w:cs="方正仿宋_GBK"/>
          <w:color w:val="333333"/>
          <w:sz w:val="32"/>
          <w:szCs w:val="32"/>
          <w:lang w:val="en-US" w:eastAsia="zh-CN"/>
        </w:rPr>
        <w:t>2寸</w:t>
      </w:r>
      <w:r>
        <w:rPr>
          <w:rFonts w:hint="eastAsia" w:ascii="方正仿宋_GBK" w:hAnsi="方正仿宋_GBK" w:eastAsia="方正仿宋_GBK" w:cs="方正仿宋_GBK"/>
          <w:color w:val="333333"/>
          <w:sz w:val="32"/>
          <w:szCs w:val="32"/>
        </w:rPr>
        <w:t>免冠彩照2张（电子版</w:t>
      </w:r>
      <w:r>
        <w:rPr>
          <w:rFonts w:hint="eastAsia" w:ascii="方正仿宋_GBK" w:hAnsi="方正仿宋_GBK" w:eastAsia="方正仿宋_GBK" w:cs="方正仿宋_GBK"/>
          <w:color w:val="333333"/>
          <w:sz w:val="32"/>
          <w:szCs w:val="32"/>
          <w:lang w:val="en-US" w:eastAsia="zh-CN"/>
        </w:rPr>
        <w:t>白底</w:t>
      </w:r>
      <w:r>
        <w:rPr>
          <w:rFonts w:hint="eastAsia" w:ascii="方正仿宋_GBK" w:hAnsi="方正仿宋_GBK" w:eastAsia="方正仿宋_GBK" w:cs="方正仿宋_GBK"/>
          <w:color w:val="333333"/>
          <w:sz w:val="32"/>
          <w:szCs w:val="32"/>
        </w:rPr>
        <w:t>）、本科阶段所修全部课程的成绩单（需加盖学校公章）、填写完整的入学申请表、身份证复印件、全国英语等级考试成绩单或其它英语水平证明，审核合格后发录取通知书。</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五、录取原则</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1、通过全国大学生英语六级考试，或雅思考试总分6.0的学生免试入学；</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2、其他条件者须参加学校项目中心组织的入学考试（</w:t>
      </w:r>
      <w:r>
        <w:rPr>
          <w:rFonts w:hint="eastAsia" w:ascii="方正仿宋_GBK" w:hAnsi="方正仿宋_GBK" w:eastAsia="方正仿宋_GBK" w:cs="方正仿宋_GBK"/>
          <w:sz w:val="32"/>
          <w:szCs w:val="32"/>
        </w:rPr>
        <w:t>OOPT英语测试</w:t>
      </w:r>
      <w:r>
        <w:rPr>
          <w:rFonts w:hint="eastAsia" w:ascii="方正仿宋_GBK" w:hAnsi="方正仿宋_GBK" w:eastAsia="方正仿宋_GBK" w:cs="方正仿宋_GBK"/>
          <w:color w:val="333333"/>
          <w:sz w:val="32"/>
          <w:szCs w:val="32"/>
        </w:rPr>
        <w:t>），成绩合格者准予报名。</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 xml:space="preserve">六、报名入学考试及安排 </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报名日期：</w:t>
      </w:r>
      <w:r>
        <w:rPr>
          <w:rFonts w:hint="eastAsia" w:ascii="方正仿宋_GBK" w:hAnsi="方正仿宋_GBK" w:eastAsia="方正仿宋_GBK" w:cs="方正仿宋_GBK"/>
          <w:color w:val="333333"/>
          <w:sz w:val="32"/>
          <w:szCs w:val="32"/>
        </w:rPr>
        <w:t>2020年3月14日-17日</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70C0"/>
          <w:sz w:val="32"/>
          <w:szCs w:val="32"/>
        </w:rPr>
        <w:t>入学语言测试时间：</w:t>
      </w:r>
      <w:r>
        <w:rPr>
          <w:rFonts w:hint="eastAsia" w:ascii="方正仿宋_GBK" w:hAnsi="方正仿宋_GBK" w:eastAsia="方正仿宋_GBK" w:cs="方正仿宋_GBK"/>
          <w:color w:val="000000" w:themeColor="text1"/>
          <w:sz w:val="32"/>
          <w:szCs w:val="32"/>
          <w14:textFill>
            <w14:solidFill>
              <w14:schemeClr w14:val="tx1"/>
            </w14:solidFill>
          </w14:textFill>
        </w:rPr>
        <w:t>2020年3月18-20日（在线测试）</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70C0"/>
          <w:sz w:val="32"/>
          <w:szCs w:val="32"/>
        </w:rPr>
        <w:t>录取及通知书发放时间：</w:t>
      </w:r>
      <w:r>
        <w:rPr>
          <w:rFonts w:hint="eastAsia" w:ascii="方正仿宋_GBK" w:hAnsi="方正仿宋_GBK" w:eastAsia="方正仿宋_GBK" w:cs="方正仿宋_GBK"/>
          <w:color w:val="000000" w:themeColor="text1"/>
          <w:sz w:val="32"/>
          <w:szCs w:val="32"/>
          <w14:textFill>
            <w14:solidFill>
              <w14:schemeClr w14:val="tx1"/>
            </w14:solidFill>
          </w14:textFill>
        </w:rPr>
        <w:t>2020年3月22日</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rPr>
        <w:t>具体说明：</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有意向出国攻读硕士学位的学生都可以先报名参加免费的OOPT英语测试。参加报名的同学请填写报名表（附件1），并在3月17日17:00前发至刘佳老师邮箱liujia_0110@163.com；</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项目组将安排报名学生在规定的日期在线测试，测试通过后发硕士直通项目录取通知书并缴纳国际英语直通课程费用及考试认证费；</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上课时间以《录取通知书》为准，录取的学生须严格按照《录取通知书》规定的时间办理入学和注册手续。</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七、收费标准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lang w:val="en-AU"/>
        </w:rPr>
      </w:pPr>
      <w:bookmarkStart w:id="1" w:name="OLE_LINK1"/>
      <w:r>
        <w:rPr>
          <w:rFonts w:hint="eastAsia" w:ascii="方正仿宋_GBK" w:hAnsi="方正仿宋_GBK" w:eastAsia="方正仿宋_GBK" w:cs="方正仿宋_GBK"/>
          <w:color w:val="333333"/>
          <w:sz w:val="32"/>
          <w:szCs w:val="32"/>
        </w:rPr>
        <w:t>国际英语课程费用标准（费用由AEMG Academy收取）</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lang w:val="en-US" w:eastAsia="zh-CN"/>
        </w:rPr>
        <w:t>1、</w:t>
      </w:r>
      <w:r>
        <w:rPr>
          <w:rFonts w:hint="eastAsia" w:ascii="方正楷体_GBK" w:hAnsi="方正楷体_GBK" w:eastAsia="方正楷体_GBK" w:cs="方正楷体_GBK"/>
          <w:color w:val="0070C0"/>
          <w:sz w:val="32"/>
          <w:szCs w:val="32"/>
        </w:rPr>
        <w:t>国际课程费：</w:t>
      </w:r>
      <w:r>
        <w:rPr>
          <w:rFonts w:hint="eastAsia" w:ascii="方正仿宋_GBK" w:hAnsi="方正仿宋_GBK" w:eastAsia="方正仿宋_GBK" w:cs="方正仿宋_GBK"/>
          <w:color w:val="333333"/>
          <w:sz w:val="32"/>
          <w:szCs w:val="32"/>
        </w:rPr>
        <w:t>3,400澳元，约折人民币</w:t>
      </w:r>
      <w:bookmarkStart w:id="2" w:name="OLE_LINK3"/>
      <w:r>
        <w:rPr>
          <w:rFonts w:hint="eastAsia" w:ascii="方正仿宋_GBK" w:hAnsi="方正仿宋_GBK" w:eastAsia="方正仿宋_GBK" w:cs="方正仿宋_GBK"/>
          <w:color w:val="333333"/>
          <w:sz w:val="32"/>
          <w:szCs w:val="32"/>
        </w:rPr>
        <w:t>14,980</w:t>
      </w:r>
      <w:bookmarkEnd w:id="2"/>
      <w:r>
        <w:rPr>
          <w:rFonts w:hint="eastAsia" w:ascii="方正仿宋_GBK" w:hAnsi="方正仿宋_GBK" w:eastAsia="方正仿宋_GBK" w:cs="方正仿宋_GBK"/>
          <w:color w:val="333333"/>
          <w:sz w:val="32"/>
          <w:szCs w:val="32"/>
        </w:rPr>
        <w:t>元</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color w:val="333333"/>
          <w:sz w:val="32"/>
          <w:szCs w:val="32"/>
        </w:rPr>
        <w:t>参考2020年3月13日汇率1澳元=4.406元；</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lang w:val="en-US" w:eastAsia="zh-CN"/>
        </w:rPr>
        <w:t>2、</w:t>
      </w:r>
      <w:r>
        <w:rPr>
          <w:rFonts w:hint="eastAsia" w:ascii="方正楷体_GBK" w:hAnsi="方正楷体_GBK" w:eastAsia="方正楷体_GBK" w:cs="方正楷体_GBK"/>
          <w:color w:val="0070C0"/>
          <w:sz w:val="32"/>
          <w:szCs w:val="32"/>
        </w:rPr>
        <w:t>国际英语课程（DEP）认证考试费用：</w:t>
      </w:r>
      <w:r>
        <w:rPr>
          <w:rFonts w:hint="eastAsia" w:ascii="方正仿宋_GBK" w:hAnsi="方正仿宋_GBK" w:eastAsia="方正仿宋_GBK" w:cs="方正仿宋_GBK"/>
          <w:color w:val="333333"/>
          <w:sz w:val="32"/>
          <w:szCs w:val="32"/>
        </w:rPr>
        <w:t>480澳元，约折人民币</w:t>
      </w:r>
      <w:r>
        <w:rPr>
          <w:rFonts w:hint="eastAsia" w:ascii="方正仿宋_GBK" w:hAnsi="方正仿宋_GBK" w:eastAsia="方正仿宋_GBK" w:cs="方正仿宋_GBK"/>
          <w:color w:val="333333"/>
          <w:sz w:val="32"/>
          <w:szCs w:val="32"/>
          <w:lang w:val="en-US" w:eastAsia="zh-CN"/>
        </w:rPr>
        <w:t>2</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color w:val="333333"/>
          <w:sz w:val="32"/>
          <w:szCs w:val="32"/>
          <w:lang w:val="en-US" w:eastAsia="zh-CN"/>
        </w:rPr>
        <w:t>115</w:t>
      </w:r>
      <w:r>
        <w:rPr>
          <w:rFonts w:hint="eastAsia" w:ascii="方正仿宋_GBK" w:hAnsi="方正仿宋_GBK" w:eastAsia="方正仿宋_GBK" w:cs="方正仿宋_GBK"/>
          <w:color w:val="333333"/>
          <w:sz w:val="32"/>
          <w:szCs w:val="32"/>
        </w:rPr>
        <w:t>元，参考2020年3月13日汇率1澳元=4.406元；</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lang w:val="en-US" w:eastAsia="zh-CN"/>
        </w:rPr>
        <w:t>3、</w:t>
      </w:r>
      <w:r>
        <w:rPr>
          <w:rFonts w:hint="eastAsia" w:ascii="方正楷体_GBK" w:hAnsi="方正楷体_GBK" w:eastAsia="方正楷体_GBK" w:cs="方正楷体_GBK"/>
          <w:color w:val="0070C0"/>
          <w:sz w:val="32"/>
          <w:szCs w:val="32"/>
        </w:rPr>
        <w:t>国际英语课程教材费：</w:t>
      </w:r>
      <w:r>
        <w:rPr>
          <w:rFonts w:hint="eastAsia" w:ascii="方正仿宋_GBK" w:hAnsi="方正仿宋_GBK" w:eastAsia="方正仿宋_GBK" w:cs="方正仿宋_GBK"/>
          <w:color w:val="333333"/>
          <w:sz w:val="32"/>
          <w:szCs w:val="32"/>
        </w:rPr>
        <w:t>预收人名币500元，根据实际情况多退少补。（部分教材因使用国外原版教材，费用比普通教材费偏高）；</w:t>
      </w:r>
    </w:p>
    <w:p>
      <w:pPr>
        <w:pStyle w:val="7"/>
        <w:keepNext w:val="0"/>
        <w:keepLines w:val="0"/>
        <w:pageBreakBefore w:val="0"/>
        <w:widowControl/>
        <w:numPr>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lang w:val="en-US" w:eastAsia="zh-CN"/>
        </w:rPr>
        <w:t>4、</w:t>
      </w:r>
      <w:r>
        <w:rPr>
          <w:rFonts w:hint="eastAsia" w:ascii="方正楷体_GBK" w:hAnsi="方正楷体_GBK" w:eastAsia="方正楷体_GBK" w:cs="方正楷体_GBK"/>
          <w:color w:val="0070C0"/>
          <w:sz w:val="32"/>
          <w:szCs w:val="32"/>
        </w:rPr>
        <w:t>海外大学申请服务费及签证申请指导费用：</w:t>
      </w:r>
      <w:r>
        <w:rPr>
          <w:rFonts w:hint="eastAsia" w:ascii="方正仿宋_GBK" w:hAnsi="方正仿宋_GBK" w:eastAsia="方正仿宋_GBK" w:cs="方正仿宋_GBK"/>
          <w:color w:val="333333"/>
          <w:sz w:val="32"/>
          <w:szCs w:val="32"/>
        </w:rPr>
        <w:t>人</w:t>
      </w:r>
      <w:r>
        <w:rPr>
          <w:rFonts w:hint="eastAsia" w:ascii="方正仿宋_GBK" w:hAnsi="方正仿宋_GBK" w:eastAsia="方正仿宋_GBK" w:cs="方正仿宋_GBK"/>
          <w:color w:val="333333"/>
          <w:sz w:val="32"/>
          <w:szCs w:val="32"/>
          <w:lang w:val="en-US" w:eastAsia="zh-CN"/>
        </w:rPr>
        <w:t>民</w:t>
      </w:r>
      <w:r>
        <w:rPr>
          <w:rFonts w:hint="eastAsia" w:ascii="方正仿宋_GBK" w:hAnsi="方正仿宋_GBK" w:eastAsia="方正仿宋_GBK" w:cs="方正仿宋_GBK"/>
          <w:color w:val="333333"/>
          <w:sz w:val="32"/>
          <w:szCs w:val="32"/>
        </w:rPr>
        <w:t>币</w:t>
      </w:r>
      <w:r>
        <w:rPr>
          <w:rFonts w:hint="eastAsia" w:ascii="方正仿宋_GBK" w:hAnsi="方正仿宋_GBK" w:eastAsia="方正仿宋_GBK" w:cs="方正仿宋_GBK"/>
          <w:color w:val="333333"/>
          <w:sz w:val="32"/>
          <w:szCs w:val="32"/>
          <w:lang w:val="en-US" w:eastAsia="zh-CN"/>
        </w:rPr>
        <w:t>3</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color w:val="333333"/>
          <w:sz w:val="32"/>
          <w:szCs w:val="32"/>
          <w:lang w:val="en-US" w:eastAsia="zh-CN"/>
        </w:rPr>
        <w:t>500</w:t>
      </w:r>
      <w:r>
        <w:rPr>
          <w:rFonts w:hint="eastAsia" w:ascii="方正仿宋_GBK" w:hAnsi="方正仿宋_GBK" w:eastAsia="方正仿宋_GBK" w:cs="方正仿宋_GBK"/>
          <w:color w:val="333333"/>
          <w:sz w:val="32"/>
          <w:szCs w:val="32"/>
        </w:rPr>
        <w:t>元；</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70C0"/>
          <w:sz w:val="32"/>
          <w:szCs w:val="32"/>
        </w:rPr>
      </w:pPr>
      <w:r>
        <w:rPr>
          <w:rFonts w:hint="eastAsia" w:ascii="方正楷体_GBK" w:hAnsi="方正楷体_GBK" w:eastAsia="方正楷体_GBK" w:cs="方正楷体_GBK"/>
          <w:color w:val="0070C0"/>
          <w:sz w:val="32"/>
          <w:szCs w:val="32"/>
          <w:lang w:val="en-US" w:eastAsia="zh-CN"/>
        </w:rPr>
        <w:t>5、</w:t>
      </w:r>
      <w:r>
        <w:rPr>
          <w:rFonts w:hint="eastAsia" w:ascii="方正楷体_GBK" w:hAnsi="方正楷体_GBK" w:eastAsia="方正楷体_GBK" w:cs="方正楷体_GBK"/>
          <w:color w:val="0070C0"/>
          <w:sz w:val="32"/>
          <w:szCs w:val="32"/>
        </w:rPr>
        <w:t>在海外高校就读研究生课程，按照海外高校报价进行缴费。</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·阿斯顿大学</w:t>
      </w:r>
      <w:r>
        <w:rPr>
          <w:rStyle w:val="14"/>
          <w:rFonts w:hint="eastAsia" w:ascii="方正仿宋_GBK" w:hAnsi="方正仿宋_GBK" w:eastAsia="方正仿宋_GBK" w:cs="方正仿宋_GBK"/>
          <w:color w:val="auto"/>
          <w:sz w:val="32"/>
          <w:szCs w:val="32"/>
          <w:u w:val="none"/>
        </w:rPr>
        <w:t>Marketing and Analytic</w:t>
      </w:r>
      <w:r>
        <w:rPr>
          <w:rFonts w:hint="eastAsia" w:ascii="方正仿宋_GBK" w:hAnsi="方正仿宋_GBK" w:eastAsia="方正仿宋_GBK" w:cs="方正仿宋_GBK"/>
          <w:color w:val="333333"/>
          <w:sz w:val="32"/>
          <w:szCs w:val="32"/>
        </w:rPr>
        <w:t>学费: 19,850镑，约折人民币174,638元(参考2020年3月13</w:t>
      </w:r>
      <w:r>
        <w:rPr>
          <w:rStyle w:val="14"/>
          <w:rFonts w:hint="eastAsia" w:ascii="方正仿宋_GBK" w:hAnsi="方正仿宋_GBK" w:eastAsia="方正仿宋_GBK" w:cs="方正仿宋_GBK"/>
          <w:color w:val="auto"/>
          <w:sz w:val="32"/>
          <w:szCs w:val="32"/>
          <w:u w:val="none"/>
        </w:rPr>
        <w:t>日1英镑=8.7979元）；</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rPr>
        <w:t>官网：</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"https://www2.aston.ac.uk/study/courses/marketing-and-analytics-msc" </w:instrText>
      </w:r>
      <w:r>
        <w:rPr>
          <w:rFonts w:hint="eastAsia" w:ascii="方正仿宋_GBK" w:hAnsi="方正仿宋_GBK" w:eastAsia="方正仿宋_GBK" w:cs="方正仿宋_GBK"/>
          <w:sz w:val="32"/>
          <w:szCs w:val="32"/>
        </w:rPr>
        <w:fldChar w:fldCharType="separate"/>
      </w:r>
      <w:r>
        <w:rPr>
          <w:rStyle w:val="14"/>
          <w:rFonts w:hint="eastAsia" w:ascii="方正仿宋_GBK" w:hAnsi="方正仿宋_GBK" w:eastAsia="方正仿宋_GBK" w:cs="方正仿宋_GBK"/>
          <w:color w:val="auto"/>
          <w:sz w:val="32"/>
          <w:szCs w:val="32"/>
          <w:u w:val="none"/>
        </w:rPr>
        <w:t>https://www2.aston.ac.uk/study/courses/marketing-and-analytics-msc</w:t>
      </w:r>
      <w:r>
        <w:rPr>
          <w:rStyle w:val="14"/>
          <w:rFonts w:hint="eastAsia" w:ascii="方正仿宋_GBK" w:hAnsi="方正仿宋_GBK" w:eastAsia="方正仿宋_GBK" w:cs="方正仿宋_GBK"/>
          <w:color w:val="auto"/>
          <w:sz w:val="32"/>
          <w:szCs w:val="32"/>
          <w:u w:val="none"/>
        </w:rPr>
        <w:fldChar w:fldCharType="end"/>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333333"/>
          <w:sz w:val="32"/>
          <w:szCs w:val="32"/>
          <w:lang w:bidi="ar"/>
        </w:rPr>
      </w:pPr>
      <w:r>
        <w:rPr>
          <w:rFonts w:hint="eastAsia" w:ascii="方正仿宋_GBK" w:hAnsi="方正仿宋_GBK" w:eastAsia="方正仿宋_GBK" w:cs="方正仿宋_GBK"/>
          <w:color w:val="333333"/>
          <w:sz w:val="32"/>
          <w:szCs w:val="32"/>
          <w:lang w:bidi="ar"/>
        </w:rPr>
        <w:t>·悉尼科技大学IT专业学费：约35,000澳元，约折人民币15,4210元(参考2020年3月13日汇率1澳元=4.406元）；</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333333"/>
          <w:sz w:val="32"/>
          <w:szCs w:val="32"/>
          <w:lang w:bidi="ar"/>
        </w:rPr>
      </w:pPr>
      <w:r>
        <w:rPr>
          <w:rFonts w:hint="eastAsia" w:ascii="方正仿宋_GBK" w:hAnsi="方正仿宋_GBK" w:eastAsia="方正仿宋_GBK" w:cs="方正仿宋_GBK"/>
          <w:color w:val="333333"/>
          <w:sz w:val="32"/>
          <w:szCs w:val="32"/>
          <w:lang w:bidi="ar"/>
        </w:rPr>
        <w:t>官网：https://www.uts.edu.au/future-students/find-a-course/master-information-technology</w:t>
      </w:r>
    </w:p>
    <w:bookmarkEnd w:id="1"/>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方正黑体_GBK" w:hAnsi="方正黑体_GBK" w:eastAsia="方正黑体_GBK" w:cs="方正黑体_GBK"/>
          <w:b/>
          <w:bCs/>
          <w:color w:val="FF0000"/>
          <w:sz w:val="32"/>
          <w:szCs w:val="32"/>
        </w:rPr>
      </w:pPr>
      <w:r>
        <w:rPr>
          <w:rFonts w:hint="eastAsia" w:ascii="方正黑体_GBK" w:hAnsi="方正黑体_GBK" w:eastAsia="方正黑体_GBK" w:cs="方正黑体_GBK"/>
          <w:b/>
          <w:bCs/>
          <w:color w:val="FF0000"/>
          <w:sz w:val="32"/>
          <w:szCs w:val="32"/>
        </w:rPr>
        <w:t>八、联系方式</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校区项目管理办公室联系人：</w:t>
      </w:r>
      <w:r>
        <w:rPr>
          <w:rFonts w:hint="eastAsia" w:ascii="方正仿宋_GBK" w:hAnsi="方正仿宋_GBK" w:eastAsia="方正仿宋_GBK" w:cs="方正仿宋_GBK"/>
          <w:color w:val="333333"/>
          <w:sz w:val="32"/>
          <w:szCs w:val="32"/>
        </w:rPr>
        <w:t>刘佳老师</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办公室电话：</w:t>
      </w:r>
      <w:r>
        <w:rPr>
          <w:rFonts w:hint="eastAsia" w:ascii="方正仿宋_GBK" w:hAnsi="方正仿宋_GBK" w:eastAsia="方正仿宋_GBK" w:cs="方正仿宋_GBK"/>
          <w:color w:val="333333"/>
          <w:sz w:val="32"/>
          <w:szCs w:val="32"/>
        </w:rPr>
        <w:t xml:space="preserve">023-46751399 </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联系电话：</w:t>
      </w:r>
      <w:r>
        <w:rPr>
          <w:rFonts w:hint="eastAsia" w:ascii="方正仿宋_GBK" w:hAnsi="方正仿宋_GBK" w:eastAsia="方正仿宋_GBK" w:cs="方正仿宋_GBK"/>
          <w:color w:val="333333"/>
          <w:sz w:val="32"/>
          <w:szCs w:val="32"/>
        </w:rPr>
        <w:t>15923202561（近期大家用手机联系咨询，或者qq：137202415）</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国际教育项目中心联系人：</w:t>
      </w:r>
      <w:r>
        <w:rPr>
          <w:rFonts w:hint="eastAsia" w:ascii="方正仿宋_GBK" w:hAnsi="方正仿宋_GBK" w:eastAsia="方正仿宋_GBK" w:cs="方正仿宋_GBK"/>
          <w:color w:val="333333"/>
          <w:sz w:val="32"/>
          <w:szCs w:val="32"/>
        </w:rPr>
        <w:t>王番</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联系电话：</w:t>
      </w:r>
      <w:r>
        <w:rPr>
          <w:rFonts w:hint="eastAsia" w:ascii="方正仿宋_GBK" w:hAnsi="方正仿宋_GBK" w:eastAsia="方正仿宋_GBK" w:cs="方正仿宋_GBK"/>
          <w:color w:val="333333"/>
          <w:sz w:val="32"/>
          <w:szCs w:val="32"/>
        </w:rPr>
        <w:t>18375725708（近期大家用手机联系咨询）</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rPr>
      </w:pPr>
      <w:r>
        <w:rPr>
          <w:rFonts w:hint="eastAsia" w:ascii="方正楷体_GBK" w:hAnsi="方正楷体_GBK" w:eastAsia="方正楷体_GBK" w:cs="方正楷体_GBK"/>
          <w:color w:val="0070C0"/>
          <w:sz w:val="32"/>
          <w:szCs w:val="32"/>
        </w:rPr>
        <w:t>办公地点：</w:t>
      </w:r>
      <w:r>
        <w:rPr>
          <w:rFonts w:hint="eastAsia" w:ascii="方正仿宋_GBK" w:hAnsi="方正仿宋_GBK" w:eastAsia="方正仿宋_GBK" w:cs="方正仿宋_GBK"/>
          <w:color w:val="333333"/>
          <w:sz w:val="32"/>
          <w:szCs w:val="32"/>
        </w:rPr>
        <w:t>西南大学商贸学院国际教育项目中心办公室。</w:t>
      </w:r>
    </w:p>
    <w:bookmarkEnd w:id="3"/>
    <w:p>
      <w:pPr>
        <w:rPr>
          <w:rFonts w:hint="eastAsia" w:ascii="方正黑体_GBK" w:hAnsi="方正黑体_GBK" w:eastAsia="方正黑体_GBK" w:cs="方正黑体_GBK"/>
          <w:b/>
          <w:bCs/>
          <w:color w:val="333333"/>
          <w:sz w:val="32"/>
          <w:szCs w:val="32"/>
        </w:rPr>
      </w:pPr>
      <w:r>
        <w:rPr>
          <w:rFonts w:hint="eastAsia" w:ascii="方正黑体_GBK" w:hAnsi="方正黑体_GBK" w:eastAsia="方正黑体_GBK" w:cs="方正黑体_GBK"/>
          <w:b/>
          <w:bCs/>
          <w:color w:val="333333"/>
          <w:sz w:val="32"/>
          <w:szCs w:val="32"/>
        </w:rPr>
        <w:br w:type="page"/>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b/>
          <w:bCs/>
          <w:color w:val="333333"/>
          <w:sz w:val="32"/>
          <w:szCs w:val="32"/>
          <w:lang w:eastAsia="zh-CN"/>
        </w:rPr>
      </w:pPr>
      <w:r>
        <w:rPr>
          <w:rFonts w:hint="eastAsia" w:ascii="方正仿宋_GBK" w:hAnsi="方正仿宋_GBK" w:eastAsia="方正仿宋_GBK" w:cs="方正仿宋_GBK"/>
          <w:b/>
          <w:bCs/>
          <w:color w:val="333333"/>
          <w:sz w:val="32"/>
          <w:szCs w:val="32"/>
        </w:rPr>
        <w:t>附件1</w:t>
      </w:r>
      <w:r>
        <w:rPr>
          <w:rFonts w:hint="eastAsia" w:ascii="方正仿宋_GBK" w:hAnsi="方正仿宋_GBK" w:eastAsia="方正仿宋_GBK" w:cs="方正仿宋_GBK"/>
          <w:b/>
          <w:bCs/>
          <w:color w:val="333333"/>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西南大学商贸学院硕士直通项目报名表</w:t>
      </w:r>
    </w:p>
    <w:tbl>
      <w:tblPr>
        <w:tblStyle w:val="10"/>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2177"/>
        <w:gridCol w:w="452"/>
        <w:gridCol w:w="1417"/>
        <w:gridCol w:w="181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6"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姓名</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Name</w:t>
            </w:r>
          </w:p>
        </w:tc>
        <w:tc>
          <w:tcPr>
            <w:tcW w:w="2177"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p>
          <w:p>
            <w:pPr>
              <w:spacing w:before="156" w:beforeLines="50" w:after="156" w:afterLines="50" w:line="360" w:lineRule="auto"/>
              <w:ind w:left="0" w:leftChars="0" w:right="0" w:rightChars="0" w:firstLine="0" w:firstLineChars="0"/>
              <w:jc w:val="center"/>
              <w:rPr>
                <w:rFonts w:asciiTheme="minorEastAsia" w:hAnsiTheme="minorEastAsia"/>
                <w:szCs w:val="22"/>
              </w:rPr>
            </w:pPr>
          </w:p>
        </w:tc>
        <w:tc>
          <w:tcPr>
            <w:tcW w:w="1869" w:type="dxa"/>
            <w:gridSpan w:val="2"/>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性别</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Gender</w:t>
            </w:r>
          </w:p>
        </w:tc>
        <w:tc>
          <w:tcPr>
            <w:tcW w:w="1815"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sym w:font="Wingdings 2" w:char="00A3"/>
            </w:r>
            <w:r>
              <w:rPr>
                <w:rFonts w:hint="eastAsia" w:asciiTheme="minorEastAsia" w:hAnsiTheme="minorEastAsia"/>
                <w:szCs w:val="22"/>
              </w:rPr>
              <w:t>男</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sym w:font="Wingdings 2" w:char="00A3"/>
            </w:r>
            <w:r>
              <w:rPr>
                <w:rFonts w:hint="eastAsia" w:asciiTheme="minorEastAsia" w:hAnsiTheme="minorEastAsia"/>
                <w:szCs w:val="22"/>
              </w:rPr>
              <w:t>Male</w:t>
            </w:r>
          </w:p>
        </w:tc>
        <w:tc>
          <w:tcPr>
            <w:tcW w:w="1279"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sym w:font="Wingdings 2" w:char="00A3"/>
            </w:r>
            <w:r>
              <w:rPr>
                <w:rFonts w:hint="eastAsia" w:asciiTheme="minorEastAsia" w:hAnsiTheme="minorEastAsia"/>
                <w:szCs w:val="22"/>
              </w:rPr>
              <w:t>女</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sym w:font="Wingdings 2" w:char="00A3"/>
            </w:r>
            <w:r>
              <w:rPr>
                <w:rFonts w:hint="eastAsia" w:asciiTheme="minorEastAsia" w:hAnsiTheme="minorEastAsia"/>
                <w:szCs w:val="22"/>
              </w:rPr>
              <w:t>Female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2186"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年级及专业</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Major and Grade</w:t>
            </w:r>
          </w:p>
        </w:tc>
        <w:tc>
          <w:tcPr>
            <w:tcW w:w="7140" w:type="dxa"/>
            <w:gridSpan w:val="5"/>
            <w:tcBorders>
              <w:tl2br w:val="nil"/>
              <w:tr2bl w:val="nil"/>
            </w:tcBorders>
            <w:vAlign w:val="bottom"/>
          </w:tcPr>
          <w:p>
            <w:pPr>
              <w:spacing w:before="156" w:beforeLines="50" w:after="156" w:afterLines="50" w:line="360" w:lineRule="auto"/>
              <w:rPr>
                <w:rFonts w:asciiTheme="minorEastAsia" w:hAnsiTheme="minorEastAsia"/>
                <w:szCs w:val="22"/>
              </w:rPr>
            </w:pPr>
          </w:p>
          <w:p>
            <w:pPr>
              <w:spacing w:before="156" w:beforeLines="50" w:after="156" w:afterLines="50" w:line="360" w:lineRule="auto"/>
              <w:rPr>
                <w:rFonts w:asciiTheme="minorEastAsia" w:hAnsi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186"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hint="eastAsia" w:asciiTheme="minorEastAsia" w:hAnsiTheme="minorEastAsia"/>
                <w:szCs w:val="22"/>
              </w:rPr>
            </w:pPr>
            <w:r>
              <w:rPr>
                <w:rFonts w:hint="eastAsia" w:asciiTheme="minorEastAsia" w:hAnsiTheme="minorEastAsia"/>
                <w:szCs w:val="22"/>
              </w:rPr>
              <w:t>申请专业</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Intended Major</w:t>
            </w:r>
          </w:p>
        </w:tc>
        <w:tc>
          <w:tcPr>
            <w:tcW w:w="7140" w:type="dxa"/>
            <w:gridSpan w:val="5"/>
            <w:tcBorders>
              <w:tl2br w:val="nil"/>
              <w:tr2bl w:val="nil"/>
            </w:tcBorders>
            <w:vAlign w:val="bottom"/>
          </w:tcPr>
          <w:p>
            <w:pPr>
              <w:spacing w:before="156" w:beforeLines="50" w:after="156" w:afterLines="50" w:line="360" w:lineRule="auto"/>
              <w:rPr>
                <w:rFonts w:asciiTheme="minorEastAsia" w:hAnsiTheme="minorEastAsia"/>
                <w:szCs w:val="22"/>
              </w:rPr>
            </w:pPr>
          </w:p>
          <w:p>
            <w:pPr>
              <w:spacing w:before="156" w:beforeLines="50" w:after="156" w:afterLines="50" w:line="360" w:lineRule="auto"/>
              <w:rPr>
                <w:rFonts w:asciiTheme="minorEastAsia" w:hAnsi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2186"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手机</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Contact Number</w:t>
            </w:r>
          </w:p>
        </w:tc>
        <w:tc>
          <w:tcPr>
            <w:tcW w:w="2629" w:type="dxa"/>
            <w:gridSpan w:val="2"/>
            <w:tcBorders>
              <w:tl2br w:val="nil"/>
              <w:tr2bl w:val="nil"/>
            </w:tcBorders>
            <w:vAlign w:val="bottom"/>
          </w:tcPr>
          <w:p>
            <w:pPr>
              <w:spacing w:before="156" w:beforeLines="50" w:after="156" w:afterLines="50" w:line="360" w:lineRule="auto"/>
              <w:rPr>
                <w:rFonts w:asciiTheme="minorEastAsia" w:hAnsiTheme="minorEastAsia"/>
                <w:szCs w:val="22"/>
              </w:rPr>
            </w:pPr>
          </w:p>
          <w:p>
            <w:pPr>
              <w:spacing w:before="156" w:beforeLines="50" w:after="156" w:afterLines="50" w:line="360" w:lineRule="auto"/>
              <w:rPr>
                <w:rFonts w:asciiTheme="minorEastAsia" w:hAnsiTheme="minorEastAsia"/>
                <w:szCs w:val="22"/>
              </w:rPr>
            </w:pPr>
          </w:p>
        </w:tc>
        <w:tc>
          <w:tcPr>
            <w:tcW w:w="1417" w:type="dxa"/>
            <w:tcBorders>
              <w:tl2br w:val="nil"/>
              <w:tr2bl w:val="nil"/>
            </w:tcBorders>
            <w:vAlign w:val="center"/>
          </w:tcPr>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邮箱</w:t>
            </w:r>
          </w:p>
          <w:p>
            <w:pPr>
              <w:spacing w:before="156" w:beforeLines="50" w:after="156" w:afterLines="50" w:line="360" w:lineRule="auto"/>
              <w:ind w:left="0" w:leftChars="0" w:right="0" w:rightChars="0" w:firstLine="0" w:firstLineChars="0"/>
              <w:jc w:val="center"/>
              <w:rPr>
                <w:rFonts w:asciiTheme="minorEastAsia" w:hAnsiTheme="minorEastAsia"/>
                <w:szCs w:val="22"/>
              </w:rPr>
            </w:pPr>
            <w:r>
              <w:rPr>
                <w:rFonts w:hint="eastAsia" w:asciiTheme="minorEastAsia" w:hAnsiTheme="minorEastAsia"/>
                <w:szCs w:val="22"/>
              </w:rPr>
              <w:t>E-mail</w:t>
            </w:r>
          </w:p>
        </w:tc>
        <w:tc>
          <w:tcPr>
            <w:tcW w:w="3094" w:type="dxa"/>
            <w:gridSpan w:val="2"/>
            <w:tcBorders>
              <w:tl2br w:val="nil"/>
              <w:tr2bl w:val="nil"/>
            </w:tcBorders>
            <w:vAlign w:val="bottom"/>
          </w:tcPr>
          <w:p>
            <w:pPr>
              <w:spacing w:before="156" w:beforeLines="50" w:after="156" w:afterLines="50" w:line="360" w:lineRule="auto"/>
              <w:rPr>
                <w:rFonts w:asciiTheme="minorEastAsia" w:hAnsiTheme="minorEastAsia"/>
                <w:szCs w:val="22"/>
              </w:rPr>
            </w:pPr>
          </w:p>
        </w:tc>
      </w:tr>
    </w:tbl>
    <w:p>
      <w:pPr>
        <w:pStyle w:val="7"/>
        <w:widowControl/>
        <w:spacing w:beforeAutospacing="0" w:after="100" w:afterAutospacing="0" w:line="360" w:lineRule="auto"/>
        <w:ind w:firstLine="317"/>
        <w:rPr>
          <w:rFonts w:ascii="宋体" w:hAnsi="宋体" w:eastAsia="宋体" w:cs="宋体"/>
          <w:color w:val="333333"/>
        </w:rPr>
      </w:pPr>
    </w:p>
    <w:sectPr>
      <w:footerReference r:id="rId3" w:type="default"/>
      <w:pgSz w:w="11906" w:h="16838"/>
      <w:pgMar w:top="720" w:right="1106" w:bottom="720" w:left="1560" w:header="851" w:footer="65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icrosoft JhengHei UI Light">
    <w:panose1 w:val="020B0304030504040204"/>
    <w:charset w:val="88"/>
    <w:family w:val="auto"/>
    <w:pitch w:val="default"/>
    <w:sig w:usb0="8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1"/>
      </w:rPr>
      <mc:AlternateContent>
        <mc:Choice Requires="wps">
          <w:drawing>
            <wp:anchor distT="0" distB="0" distL="114300" distR="114300" simplePos="0" relativeHeight="251658240" behindDoc="0" locked="0" layoutInCell="1" allowOverlap="1">
              <wp:simplePos x="0" y="0"/>
              <wp:positionH relativeFrom="margin">
                <wp:posOffset>2484120</wp:posOffset>
              </wp:positionH>
              <wp:positionV relativeFrom="paragraph">
                <wp:posOffset>152400</wp:posOffset>
              </wp:positionV>
              <wp:extent cx="9245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456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ind w:left="0" w:leftChars="0" w:right="0" w:rightChars="0" w:firstLine="0" w:firstLineChars="0"/>
                            <w:jc w:val="center"/>
                            <w:rPr>
                              <w:rFonts w:hint="eastAsia" w:eastAsiaTheme="minorEastAsia"/>
                              <w:lang w:eastAsia="zh-CN"/>
                            </w:rPr>
                          </w:pPr>
                          <w:r>
                            <w:rPr>
                              <w:rFonts w:hint="eastAsia"/>
                              <w:lang w:val="en-US"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6pt;margin-top:12pt;height:144pt;width:72.8pt;mso-position-horizontal-relative:margin;z-index:251658240;mso-width-relative:page;mso-height-relative:page;" filled="f" stroked="f" coordsize="21600,21600" o:gfxdata="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QxW/tNUAAAAIAQAA&#10;DwAAAAAAAAABACAAAAAiAAAAZHJzL2Rvd25yZXYueG1sUEsBAhQAFAAAAAgAh07iQJsm/5jHAgAA&#10;1wUAAA4AAAAAAAAAAQAgAAAAJAEAAGRycy9lMm9Eb2MueG1sUEsFBgAAAAAGAAYAWQEAAF0GAAAA&#10;AA==&#10;">
              <v:fill on="f" focussize="0,0"/>
              <v:stroke on="f" weight="0.5pt"/>
              <v:imagedata o:title=""/>
              <o:lock v:ext="edit" aspectratio="f"/>
              <v:textbox inset="0mm,0mm,0mm,0mm" style="mso-fit-shape-to-text:t;">
                <w:txbxContent>
                  <w:p>
                    <w:pPr>
                      <w:pStyle w:val="5"/>
                      <w:ind w:left="0" w:leftChars="0" w:right="0" w:rightChars="0" w:firstLine="0" w:firstLineChars="0"/>
                      <w:jc w:val="center"/>
                      <w:rPr>
                        <w:rFonts w:hint="eastAsia" w:eastAsiaTheme="minorEastAsia"/>
                        <w:lang w:eastAsia="zh-CN"/>
                      </w:rPr>
                    </w:pPr>
                    <w:r>
                      <w:rPr>
                        <w:rFonts w:hint="eastAsia"/>
                        <w:lang w:val="en-US"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6A0FB1"/>
    <w:rsid w:val="000069F9"/>
    <w:rsid w:val="00006CD9"/>
    <w:rsid w:val="00011393"/>
    <w:rsid w:val="0001720A"/>
    <w:rsid w:val="0002567E"/>
    <w:rsid w:val="00060A32"/>
    <w:rsid w:val="00074B90"/>
    <w:rsid w:val="00083D69"/>
    <w:rsid w:val="000A4E46"/>
    <w:rsid w:val="000A6E09"/>
    <w:rsid w:val="000B24D8"/>
    <w:rsid w:val="000C0A47"/>
    <w:rsid w:val="000E3A50"/>
    <w:rsid w:val="000E4046"/>
    <w:rsid w:val="000F714F"/>
    <w:rsid w:val="001018E5"/>
    <w:rsid w:val="001067AB"/>
    <w:rsid w:val="0012399D"/>
    <w:rsid w:val="00123E28"/>
    <w:rsid w:val="0012486A"/>
    <w:rsid w:val="00136B41"/>
    <w:rsid w:val="0014013A"/>
    <w:rsid w:val="00156EFE"/>
    <w:rsid w:val="00173199"/>
    <w:rsid w:val="001877E5"/>
    <w:rsid w:val="00193F9C"/>
    <w:rsid w:val="001960BC"/>
    <w:rsid w:val="001A493A"/>
    <w:rsid w:val="001A5240"/>
    <w:rsid w:val="001A5E87"/>
    <w:rsid w:val="001B73F2"/>
    <w:rsid w:val="001C503F"/>
    <w:rsid w:val="001D5167"/>
    <w:rsid w:val="0020034D"/>
    <w:rsid w:val="0020311A"/>
    <w:rsid w:val="00211450"/>
    <w:rsid w:val="0021399F"/>
    <w:rsid w:val="00252BF8"/>
    <w:rsid w:val="002645D0"/>
    <w:rsid w:val="002828BB"/>
    <w:rsid w:val="00283897"/>
    <w:rsid w:val="002914BE"/>
    <w:rsid w:val="002B27C0"/>
    <w:rsid w:val="002C0F1A"/>
    <w:rsid w:val="002C725D"/>
    <w:rsid w:val="002E1920"/>
    <w:rsid w:val="002E6E8F"/>
    <w:rsid w:val="00310191"/>
    <w:rsid w:val="00322450"/>
    <w:rsid w:val="00336929"/>
    <w:rsid w:val="00337F1B"/>
    <w:rsid w:val="003460F2"/>
    <w:rsid w:val="0037122C"/>
    <w:rsid w:val="00373F9F"/>
    <w:rsid w:val="00394E7F"/>
    <w:rsid w:val="003A09D8"/>
    <w:rsid w:val="003A0AF5"/>
    <w:rsid w:val="003A0B26"/>
    <w:rsid w:val="003A58AE"/>
    <w:rsid w:val="003B37AE"/>
    <w:rsid w:val="003C4C66"/>
    <w:rsid w:val="003D3732"/>
    <w:rsid w:val="00406D46"/>
    <w:rsid w:val="0043764B"/>
    <w:rsid w:val="00446841"/>
    <w:rsid w:val="004A5698"/>
    <w:rsid w:val="004E370A"/>
    <w:rsid w:val="004E562C"/>
    <w:rsid w:val="004F3A67"/>
    <w:rsid w:val="00503201"/>
    <w:rsid w:val="0050440A"/>
    <w:rsid w:val="0052024C"/>
    <w:rsid w:val="00532AFD"/>
    <w:rsid w:val="00560A48"/>
    <w:rsid w:val="005909B4"/>
    <w:rsid w:val="005912B8"/>
    <w:rsid w:val="005A09D7"/>
    <w:rsid w:val="005B2635"/>
    <w:rsid w:val="005C4B5F"/>
    <w:rsid w:val="005C4F9D"/>
    <w:rsid w:val="005E274B"/>
    <w:rsid w:val="005E61A3"/>
    <w:rsid w:val="005F4A37"/>
    <w:rsid w:val="005F5E03"/>
    <w:rsid w:val="00620188"/>
    <w:rsid w:val="006321A2"/>
    <w:rsid w:val="00642C8A"/>
    <w:rsid w:val="006500B8"/>
    <w:rsid w:val="00660C30"/>
    <w:rsid w:val="00670B9F"/>
    <w:rsid w:val="00675BEC"/>
    <w:rsid w:val="006763D4"/>
    <w:rsid w:val="006C6E5A"/>
    <w:rsid w:val="0070174A"/>
    <w:rsid w:val="0070408B"/>
    <w:rsid w:val="00714A81"/>
    <w:rsid w:val="007164DF"/>
    <w:rsid w:val="00730E90"/>
    <w:rsid w:val="0074560F"/>
    <w:rsid w:val="007456C7"/>
    <w:rsid w:val="007825E8"/>
    <w:rsid w:val="007A03C4"/>
    <w:rsid w:val="007A6C4E"/>
    <w:rsid w:val="007B273E"/>
    <w:rsid w:val="007D77A3"/>
    <w:rsid w:val="007F641A"/>
    <w:rsid w:val="00814326"/>
    <w:rsid w:val="00816ECA"/>
    <w:rsid w:val="008275C5"/>
    <w:rsid w:val="00845603"/>
    <w:rsid w:val="00864A4F"/>
    <w:rsid w:val="00877662"/>
    <w:rsid w:val="00877FBC"/>
    <w:rsid w:val="008814C3"/>
    <w:rsid w:val="008A4AAC"/>
    <w:rsid w:val="008C653A"/>
    <w:rsid w:val="008C7ED5"/>
    <w:rsid w:val="008D7D18"/>
    <w:rsid w:val="00902FF9"/>
    <w:rsid w:val="009030DC"/>
    <w:rsid w:val="009219B8"/>
    <w:rsid w:val="00924B8A"/>
    <w:rsid w:val="00937E02"/>
    <w:rsid w:val="00940CB5"/>
    <w:rsid w:val="00942C7E"/>
    <w:rsid w:val="00944E17"/>
    <w:rsid w:val="009558D5"/>
    <w:rsid w:val="00955E63"/>
    <w:rsid w:val="00956882"/>
    <w:rsid w:val="00980F95"/>
    <w:rsid w:val="00992D05"/>
    <w:rsid w:val="00993EF6"/>
    <w:rsid w:val="009A2630"/>
    <w:rsid w:val="009B5CF7"/>
    <w:rsid w:val="009C0DEA"/>
    <w:rsid w:val="009E0572"/>
    <w:rsid w:val="009E3819"/>
    <w:rsid w:val="00A208E2"/>
    <w:rsid w:val="00A21C40"/>
    <w:rsid w:val="00A245AA"/>
    <w:rsid w:val="00A309EB"/>
    <w:rsid w:val="00A558B5"/>
    <w:rsid w:val="00A96C56"/>
    <w:rsid w:val="00AA06BE"/>
    <w:rsid w:val="00AD0409"/>
    <w:rsid w:val="00AD28E7"/>
    <w:rsid w:val="00AE1D42"/>
    <w:rsid w:val="00AF37F0"/>
    <w:rsid w:val="00AF5053"/>
    <w:rsid w:val="00B3678D"/>
    <w:rsid w:val="00B40EAE"/>
    <w:rsid w:val="00B65601"/>
    <w:rsid w:val="00B66FC9"/>
    <w:rsid w:val="00B71077"/>
    <w:rsid w:val="00B72DDC"/>
    <w:rsid w:val="00B875F1"/>
    <w:rsid w:val="00BA4640"/>
    <w:rsid w:val="00BB38EA"/>
    <w:rsid w:val="00BB569C"/>
    <w:rsid w:val="00BC2B78"/>
    <w:rsid w:val="00BD4D75"/>
    <w:rsid w:val="00BE6571"/>
    <w:rsid w:val="00BF426D"/>
    <w:rsid w:val="00C16C29"/>
    <w:rsid w:val="00C37700"/>
    <w:rsid w:val="00C41A72"/>
    <w:rsid w:val="00C46935"/>
    <w:rsid w:val="00C72714"/>
    <w:rsid w:val="00C920DE"/>
    <w:rsid w:val="00C93B65"/>
    <w:rsid w:val="00CA2479"/>
    <w:rsid w:val="00CB093E"/>
    <w:rsid w:val="00CB4F7A"/>
    <w:rsid w:val="00CD3D2F"/>
    <w:rsid w:val="00CE07CE"/>
    <w:rsid w:val="00D21A68"/>
    <w:rsid w:val="00D30806"/>
    <w:rsid w:val="00D37189"/>
    <w:rsid w:val="00D9770F"/>
    <w:rsid w:val="00DA1041"/>
    <w:rsid w:val="00DA126D"/>
    <w:rsid w:val="00DC3532"/>
    <w:rsid w:val="00DD2ADF"/>
    <w:rsid w:val="00DE3DF3"/>
    <w:rsid w:val="00E04B86"/>
    <w:rsid w:val="00E23EE0"/>
    <w:rsid w:val="00E346DE"/>
    <w:rsid w:val="00E37DBE"/>
    <w:rsid w:val="00E718B2"/>
    <w:rsid w:val="00E86672"/>
    <w:rsid w:val="00EE7AAB"/>
    <w:rsid w:val="00F161B6"/>
    <w:rsid w:val="00F425C2"/>
    <w:rsid w:val="00FA06C0"/>
    <w:rsid w:val="00FB7006"/>
    <w:rsid w:val="00FE1F66"/>
    <w:rsid w:val="00FE54EF"/>
    <w:rsid w:val="00FF7011"/>
    <w:rsid w:val="016458CB"/>
    <w:rsid w:val="087E1A2E"/>
    <w:rsid w:val="098A7B12"/>
    <w:rsid w:val="0ED679B8"/>
    <w:rsid w:val="0FE5626E"/>
    <w:rsid w:val="10371273"/>
    <w:rsid w:val="11AE1F44"/>
    <w:rsid w:val="23FC4D1C"/>
    <w:rsid w:val="25123017"/>
    <w:rsid w:val="2ABB5DB0"/>
    <w:rsid w:val="2CA51F60"/>
    <w:rsid w:val="2CE03B6A"/>
    <w:rsid w:val="2E761BB9"/>
    <w:rsid w:val="31B65FD7"/>
    <w:rsid w:val="337D0E88"/>
    <w:rsid w:val="3AF95D3D"/>
    <w:rsid w:val="3E4807E6"/>
    <w:rsid w:val="486F7700"/>
    <w:rsid w:val="4B4F438D"/>
    <w:rsid w:val="4EE9333F"/>
    <w:rsid w:val="501563C7"/>
    <w:rsid w:val="51276FF3"/>
    <w:rsid w:val="5F284133"/>
    <w:rsid w:val="609103E2"/>
    <w:rsid w:val="646A0FB1"/>
    <w:rsid w:val="69074085"/>
    <w:rsid w:val="69712763"/>
    <w:rsid w:val="6A2F58BC"/>
    <w:rsid w:val="6B5F4F1D"/>
    <w:rsid w:val="6E9F0DAD"/>
    <w:rsid w:val="76CF12F0"/>
    <w:rsid w:val="76D56550"/>
    <w:rsid w:val="7D0423F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rFonts w:ascii="宋体" w:eastAsia="宋体"/>
      <w:sz w:val="18"/>
      <w:szCs w:val="18"/>
    </w:rPr>
  </w:style>
  <w:style w:type="paragraph" w:styleId="5">
    <w:name w:val="footer"/>
    <w:basedOn w:val="1"/>
    <w:unhideWhenUsed/>
    <w:qFormat/>
    <w:uiPriority w:val="99"/>
    <w:pPr>
      <w:tabs>
        <w:tab w:val="center" w:pos="4513"/>
        <w:tab w:val="right" w:pos="9026"/>
      </w:tabs>
    </w:pPr>
  </w:style>
  <w:style w:type="paragraph" w:styleId="6">
    <w:name w:val="header"/>
    <w:basedOn w:val="1"/>
    <w:unhideWhenUsed/>
    <w:qFormat/>
    <w:uiPriority w:val="99"/>
    <w:pPr>
      <w:tabs>
        <w:tab w:val="center" w:pos="4513"/>
        <w:tab w:val="right" w:pos="9026"/>
      </w:tabs>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9"/>
    <w:qFormat/>
    <w:uiPriority w:val="0"/>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列出段落1"/>
    <w:basedOn w:val="1"/>
    <w:qFormat/>
    <w:uiPriority w:val="0"/>
    <w:pPr>
      <w:ind w:left="720"/>
      <w:contextualSpacing/>
    </w:pPr>
    <w:rPr>
      <w:rFonts w:cs="Times New Roman"/>
    </w:rPr>
  </w:style>
  <w:style w:type="character" w:customStyle="1" w:styleId="17">
    <w:name w:val="批注框文本 字符"/>
    <w:basedOn w:val="11"/>
    <w:link w:val="4"/>
    <w:qFormat/>
    <w:uiPriority w:val="0"/>
    <w:rPr>
      <w:rFonts w:ascii="宋体" w:hAnsiTheme="minorHAnsi" w:cstheme="minorBidi"/>
      <w:kern w:val="2"/>
      <w:sz w:val="18"/>
      <w:szCs w:val="18"/>
    </w:rPr>
  </w:style>
  <w:style w:type="character" w:customStyle="1" w:styleId="18">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3191</Words>
  <Characters>3989</Characters>
  <Lines>29</Lines>
  <Paragraphs>8</Paragraphs>
  <TotalTime>8</TotalTime>
  <ScaleCrop>false</ScaleCrop>
  <LinksUpToDate>false</LinksUpToDate>
  <CharactersWithSpaces>4106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2020-03-13T04:47:00Z</dcterms:created>
  <dc:creator>李老师</dc:creator>
  <cp:lastModifiedBy>千里明月1385614097</cp:lastModifiedBy>
  <dcterms:modified xsi:type="dcterms:W3CDTF">2020-03-13T12:36:35Z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